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计划生育经费-计生特扶家庭帮扶工作经费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67.3760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61.5614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61.5614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360" w:firstLineChars="20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对辖区死亡和伤残家庭开展走访慰问、组织开展各类文化娱乐活动、购买公园年票等工作。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实际支出金额为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615614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元，按要求保障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计划生育经费-计生特扶家庭帮扶工作经费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支出。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死亡特扶家庭成员、伤残特扶家庭成员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≤489人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≤489人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申请符合条件的全部落实到位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≥99%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≥99%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按照文件规定具体实施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≤12个月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≤12个月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不超过成本控制总额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673760元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673760元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申请符合条件的全部落实到位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≥99%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≥99%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特扶家庭成员的满意度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bookmarkStart w:id="0" w:name="_GoBack"/>
            <w:bookmarkEnd w:id="0"/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BAF6DDC"/>
    <w:rsid w:val="0C7505B6"/>
    <w:rsid w:val="126662BF"/>
    <w:rsid w:val="21A0382D"/>
    <w:rsid w:val="226E1FFE"/>
    <w:rsid w:val="25D266FD"/>
    <w:rsid w:val="3B4B4FA7"/>
    <w:rsid w:val="3C955577"/>
    <w:rsid w:val="464E1B8E"/>
    <w:rsid w:val="49B14A8D"/>
    <w:rsid w:val="4F5E78E5"/>
    <w:rsid w:val="65673EB2"/>
    <w:rsid w:val="6B5200DE"/>
    <w:rsid w:val="78FD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509</Words>
  <Characters>588</Characters>
  <Lines>8</Lines>
  <Paragraphs>2</Paragraphs>
  <TotalTime>3</TotalTime>
  <ScaleCrop>false</ScaleCrop>
  <LinksUpToDate>false</LinksUpToDate>
  <CharactersWithSpaces>596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2025-08-27T09:16:36Z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KSOTemplateDocerSaveRecord">
    <vt:lpwstr>eyJoZGlkIjoiMzEwNTM5NzYwMDRjMzkwZTVkZjY2ODkwMGIxNGU0OTUiLCJ1c2VySWQiOiI5OTU1MTA3MTAifQ==</vt:lpwstr>
  </property>
  <property fmtid="{D5CDD505-2E9C-101B-9397-08002B2CF9AE}" pid="4" name="ICV">
    <vt:lpwstr>5EFA6F1080D544E6B5322D110039D8BD_13</vt:lpwstr>
  </property>
</Properties>
</file>